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06E9F1A0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404D8F">
        <w:rPr>
          <w:rFonts w:ascii="Tahoma" w:hAnsi="Tahoma" w:cs="Tahoma"/>
          <w:b/>
          <w:sz w:val="36"/>
          <w:szCs w:val="36"/>
        </w:rPr>
        <w:t>8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404D8F" w:rsidRPr="00404D8F">
        <w:rPr>
          <w:rFonts w:ascii="Tahoma" w:hAnsi="Tahoma" w:cs="Tahoma"/>
          <w:b/>
          <w:sz w:val="36"/>
          <w:szCs w:val="36"/>
        </w:rPr>
        <w:t>prestations de formations collectives au</w:t>
      </w:r>
      <w:r w:rsidR="00404D8F">
        <w:rPr>
          <w:rFonts w:ascii="Tahoma" w:hAnsi="Tahoma" w:cs="Tahoma"/>
          <w:b/>
          <w:sz w:val="36"/>
          <w:szCs w:val="36"/>
        </w:rPr>
        <w:t> </w:t>
      </w:r>
      <w:r w:rsidR="00404D8F" w:rsidRPr="00404D8F">
        <w:rPr>
          <w:rFonts w:ascii="Tahoma" w:hAnsi="Tahoma" w:cs="Tahoma"/>
          <w:b/>
          <w:sz w:val="36"/>
          <w:szCs w:val="36"/>
        </w:rPr>
        <w:t>contrôle des personnes et produits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</w:t>
            </w:r>
            <w:proofErr w:type="gramStart"/>
            <w:r w:rsidRPr="00CF5123">
              <w:rPr>
                <w:sz w:val="22"/>
              </w:rPr>
              <w:t xml:space="preserve">les </w:t>
            </w:r>
            <w:r w:rsidR="00CF5123" w:rsidRPr="00CF5123">
              <w:rPr>
                <w:i/>
                <w:iCs/>
                <w:sz w:val="22"/>
              </w:rPr>
              <w:t>curriculum</w:t>
            </w:r>
            <w:proofErr w:type="gramEnd"/>
            <w:r w:rsidR="00CF5123" w:rsidRPr="00CF5123">
              <w:rPr>
                <w:i/>
                <w:iCs/>
                <w:sz w:val="22"/>
              </w:rPr>
              <w:t xml:space="preserve">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5480E89A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</w:t>
            </w:r>
            <w:proofErr w:type="gramEnd"/>
            <w:r w:rsidRPr="00CF5123">
              <w:rPr>
                <w:sz w:val="22"/>
              </w:rPr>
              <w:t xml:space="preserve">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la</w:t>
            </w:r>
            <w:proofErr w:type="gramEnd"/>
            <w:r w:rsidRPr="00CF5123">
              <w:rPr>
                <w:sz w:val="22"/>
              </w:rPr>
              <w:t xml:space="preserve">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les</w:t>
            </w:r>
            <w:proofErr w:type="gramEnd"/>
            <w:r w:rsidRPr="00CF5123">
              <w:rPr>
                <w:sz w:val="22"/>
              </w:rPr>
              <w:t xml:space="preserve">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des</w:t>
            </w:r>
            <w:proofErr w:type="gramEnd"/>
            <w:r w:rsidRPr="00CF5123">
              <w:rPr>
                <w:sz w:val="22"/>
              </w:rPr>
              <w:t xml:space="preserve">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de</w:t>
            </w:r>
            <w:proofErr w:type="gramEnd"/>
            <w:r w:rsidRPr="00CF5123">
              <w:rPr>
                <w:sz w:val="22"/>
              </w:rPr>
              <w:t xml:space="preserve">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proofErr w:type="gramStart"/>
            <w:r w:rsidRPr="00CF5123">
              <w:rPr>
                <w:sz w:val="22"/>
              </w:rPr>
              <w:t>d’annulation</w:t>
            </w:r>
            <w:proofErr w:type="gramEnd"/>
            <w:r w:rsidRPr="00CF5123">
              <w:rPr>
                <w:sz w:val="22"/>
              </w:rPr>
              <w:t xml:space="preserve">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0C2076F9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404D8F">
            <w:t>8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04D8F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2025-07-16T14:15:00Z</dcterms:created>
  <dcterms:modified xsi:type="dcterms:W3CDTF">2025-07-17T07:16:00Z</dcterms:modified>
</cp:coreProperties>
</file>